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5D5C" w14:textId="752933F9" w:rsidR="00B5787F" w:rsidRPr="00C239BD" w:rsidRDefault="00C40561">
      <w:pPr>
        <w:widowControl/>
        <w:jc w:val="center"/>
        <w:rPr>
          <w:sz w:val="26"/>
          <w:szCs w:val="26"/>
        </w:rPr>
      </w:pPr>
      <w:r w:rsidRPr="00C239BD">
        <w:rPr>
          <w:sz w:val="26"/>
          <w:szCs w:val="26"/>
        </w:rPr>
        <w:fldChar w:fldCharType="begin"/>
      </w:r>
      <w:r w:rsidRPr="00C239BD">
        <w:rPr>
          <w:sz w:val="26"/>
          <w:szCs w:val="26"/>
        </w:rPr>
        <w:instrText xml:space="preserve"> SEQ CHAPTER \h \r 1</w:instrText>
      </w:r>
      <w:r w:rsidRPr="00C239BD">
        <w:rPr>
          <w:sz w:val="26"/>
          <w:szCs w:val="26"/>
        </w:rPr>
        <w:fldChar w:fldCharType="separate"/>
      </w:r>
      <w:r w:rsidRPr="00C239BD">
        <w:rPr>
          <w:sz w:val="26"/>
          <w:szCs w:val="26"/>
        </w:rPr>
        <w:fldChar w:fldCharType="end"/>
      </w:r>
      <w:r w:rsidRPr="00C239BD">
        <w:rPr>
          <w:b/>
          <w:sz w:val="26"/>
          <w:szCs w:val="26"/>
        </w:rPr>
        <w:t>Court of Appeals Misreads Virginia’s Restrictive Covenant Statute</w:t>
      </w:r>
    </w:p>
    <w:p w14:paraId="55408D4E" w14:textId="77777777" w:rsidR="00B5787F" w:rsidRPr="00C239BD" w:rsidRDefault="00B5787F">
      <w:pPr>
        <w:widowControl/>
        <w:jc w:val="center"/>
        <w:rPr>
          <w:sz w:val="26"/>
          <w:szCs w:val="26"/>
        </w:rPr>
      </w:pPr>
    </w:p>
    <w:p w14:paraId="3A4238AE" w14:textId="48212FFC" w:rsidR="00C239BD" w:rsidRPr="00C239BD" w:rsidRDefault="00C239BD">
      <w:pPr>
        <w:widowControl/>
        <w:jc w:val="center"/>
        <w:rPr>
          <w:sz w:val="26"/>
          <w:szCs w:val="26"/>
        </w:rPr>
      </w:pPr>
      <w:r w:rsidRPr="00C239BD">
        <w:rPr>
          <w:sz w:val="26"/>
          <w:szCs w:val="26"/>
        </w:rPr>
        <w:t>Paul A. Ferrer</w:t>
      </w:r>
    </w:p>
    <w:p w14:paraId="3D1CE5F6" w14:textId="77777777" w:rsidR="00C239BD" w:rsidRPr="00C239BD" w:rsidRDefault="00C239BD">
      <w:pPr>
        <w:widowControl/>
        <w:jc w:val="center"/>
        <w:rPr>
          <w:sz w:val="26"/>
          <w:szCs w:val="26"/>
        </w:rPr>
      </w:pPr>
      <w:r w:rsidRPr="00C239BD">
        <w:rPr>
          <w:sz w:val="26"/>
          <w:szCs w:val="26"/>
        </w:rPr>
        <w:t>Senior Attorney</w:t>
      </w:r>
    </w:p>
    <w:p w14:paraId="3561F70C" w14:textId="3A828B0B" w:rsidR="00C239BD" w:rsidRPr="00C239BD" w:rsidRDefault="00C239BD">
      <w:pPr>
        <w:widowControl/>
        <w:jc w:val="center"/>
        <w:rPr>
          <w:sz w:val="26"/>
          <w:szCs w:val="26"/>
        </w:rPr>
      </w:pPr>
      <w:r w:rsidRPr="00C239BD">
        <w:rPr>
          <w:sz w:val="26"/>
          <w:szCs w:val="26"/>
        </w:rPr>
        <w:t>National Legal Research Group</w:t>
      </w:r>
    </w:p>
    <w:p w14:paraId="06154D33" w14:textId="1A1ACE61" w:rsidR="00C239BD" w:rsidRPr="00C239BD" w:rsidRDefault="00C239BD">
      <w:pPr>
        <w:widowControl/>
        <w:jc w:val="center"/>
        <w:rPr>
          <w:sz w:val="26"/>
          <w:szCs w:val="26"/>
        </w:rPr>
      </w:pPr>
      <w:proofErr w:type="gramStart"/>
      <w:r w:rsidRPr="00C239BD">
        <w:rPr>
          <w:sz w:val="26"/>
          <w:szCs w:val="26"/>
        </w:rPr>
        <w:t>March,</w:t>
      </w:r>
      <w:proofErr w:type="gramEnd"/>
      <w:r w:rsidRPr="00C239BD">
        <w:rPr>
          <w:sz w:val="26"/>
          <w:szCs w:val="26"/>
        </w:rPr>
        <w:t xml:space="preserve"> 2026</w:t>
      </w:r>
    </w:p>
    <w:p w14:paraId="7AC06085" w14:textId="77777777" w:rsidR="00C239BD" w:rsidRPr="00C239BD" w:rsidRDefault="00C239BD">
      <w:pPr>
        <w:widowControl/>
        <w:jc w:val="center"/>
        <w:rPr>
          <w:sz w:val="26"/>
          <w:szCs w:val="26"/>
        </w:rPr>
      </w:pPr>
    </w:p>
    <w:p w14:paraId="2A352432" w14:textId="77777777" w:rsidR="00C239BD" w:rsidRPr="00C239BD" w:rsidRDefault="00C239BD">
      <w:pPr>
        <w:widowControl/>
        <w:jc w:val="center"/>
        <w:rPr>
          <w:sz w:val="26"/>
          <w:szCs w:val="26"/>
        </w:rPr>
      </w:pPr>
    </w:p>
    <w:p w14:paraId="026EA821"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 xml:space="preserve">The cardinal rule of statutory interpretation is that the court must ascertain and </w:t>
      </w:r>
      <w:proofErr w:type="gramStart"/>
      <w:r w:rsidRPr="00C239BD">
        <w:rPr>
          <w:sz w:val="26"/>
          <w:szCs w:val="26"/>
        </w:rPr>
        <w:t>give</w:t>
      </w:r>
      <w:proofErr w:type="gramEnd"/>
      <w:r w:rsidRPr="00C239BD">
        <w:rPr>
          <w:sz w:val="26"/>
          <w:szCs w:val="26"/>
        </w:rPr>
        <w:t xml:space="preserve"> effect </w:t>
      </w:r>
      <w:proofErr w:type="gramStart"/>
      <w:r w:rsidRPr="00C239BD">
        <w:rPr>
          <w:sz w:val="26"/>
          <w:szCs w:val="26"/>
        </w:rPr>
        <w:t>to</w:t>
      </w:r>
      <w:proofErr w:type="gramEnd"/>
      <w:r w:rsidRPr="00C239BD">
        <w:rPr>
          <w:sz w:val="26"/>
          <w:szCs w:val="26"/>
        </w:rPr>
        <w:t xml:space="preserve"> the legislature’s intent by looking at the words of the statute; if they are clear and unambiguous, then the court applies the statute without further interpretation. </w:t>
      </w:r>
      <w:r w:rsidRPr="00C239BD">
        <w:rPr>
          <w:i/>
          <w:sz w:val="26"/>
          <w:szCs w:val="26"/>
        </w:rPr>
        <w:t xml:space="preserve">See </w:t>
      </w:r>
      <w:hyperlink r:id="rId5" w:history="1">
        <w:r w:rsidRPr="00C239BD">
          <w:rPr>
            <w:i/>
            <w:color w:val="0000FF"/>
            <w:sz w:val="26"/>
            <w:szCs w:val="26"/>
            <w:u w:val="single"/>
          </w:rPr>
          <w:t>Sentry Force Sec., LLC v. Barrera</w:t>
        </w:r>
      </w:hyperlink>
      <w:r w:rsidRPr="00C239BD">
        <w:rPr>
          <w:sz w:val="26"/>
          <w:szCs w:val="26"/>
        </w:rPr>
        <w:t xml:space="preserve">, No. 1405-24-4, 2026 LX 11348, at *13 (Ct. App. Jan. 27, 2026). If the meaning is unclear, then the court may use various canons of statutory construction, such as that a statute should not be read in a manner that will render a portion of it absurd or meaningless, but each word should instead be given effect if possible. </w:t>
      </w:r>
      <w:r w:rsidRPr="00C239BD">
        <w:rPr>
          <w:i/>
          <w:sz w:val="26"/>
          <w:szCs w:val="26"/>
        </w:rPr>
        <w:t>See id.</w:t>
      </w:r>
      <w:r w:rsidRPr="00C239BD">
        <w:rPr>
          <w:sz w:val="26"/>
          <w:szCs w:val="26"/>
        </w:rPr>
        <w:t xml:space="preserve"> at *15, *24 n.8. And yet, courts can cite all the correct principles and still interpret a seemingly clear statute in a way that is obviously contrary to the legislature’s intent. That is what happened in the </w:t>
      </w:r>
      <w:r w:rsidRPr="00C239BD">
        <w:rPr>
          <w:i/>
          <w:sz w:val="26"/>
          <w:szCs w:val="26"/>
        </w:rPr>
        <w:t>Sentry Force</w:t>
      </w:r>
      <w:r w:rsidRPr="00C239BD">
        <w:rPr>
          <w:sz w:val="26"/>
          <w:szCs w:val="26"/>
        </w:rPr>
        <w:t xml:space="preserve"> case.</w:t>
      </w:r>
    </w:p>
    <w:p w14:paraId="6A34A4C5"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00A20EE9"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There, James Barrera was formerly employed by Sentry Force, a private security firm. Barrera signed a restrictive covenant that prohibited him from “[i]</w:t>
      </w:r>
      <w:proofErr w:type="spellStart"/>
      <w:r w:rsidRPr="00C239BD">
        <w:rPr>
          <w:sz w:val="26"/>
          <w:szCs w:val="26"/>
        </w:rPr>
        <w:t>nfluenc</w:t>
      </w:r>
      <w:proofErr w:type="spellEnd"/>
      <w:r w:rsidRPr="00C239BD">
        <w:rPr>
          <w:sz w:val="26"/>
          <w:szCs w:val="26"/>
        </w:rPr>
        <w:t>[</w:t>
      </w:r>
      <w:proofErr w:type="spellStart"/>
      <w:r w:rsidRPr="00C239BD">
        <w:rPr>
          <w:sz w:val="26"/>
          <w:szCs w:val="26"/>
        </w:rPr>
        <w:t>ing</w:t>
      </w:r>
      <w:proofErr w:type="spellEnd"/>
      <w:r w:rsidRPr="00C239BD">
        <w:rPr>
          <w:sz w:val="26"/>
          <w:szCs w:val="26"/>
        </w:rPr>
        <w:t>] or attempt[</w:t>
      </w:r>
      <w:proofErr w:type="spellStart"/>
      <w:r w:rsidRPr="00C239BD">
        <w:rPr>
          <w:sz w:val="26"/>
          <w:szCs w:val="26"/>
        </w:rPr>
        <w:t>ing</w:t>
      </w:r>
      <w:proofErr w:type="spellEnd"/>
      <w:r w:rsidRPr="00C239BD">
        <w:rPr>
          <w:sz w:val="26"/>
          <w:szCs w:val="26"/>
        </w:rPr>
        <w:t xml:space="preserve">] to influence, convince, coerce, or direct a </w:t>
      </w:r>
      <w:proofErr w:type="gramStart"/>
      <w:r w:rsidRPr="00C239BD">
        <w:rPr>
          <w:sz w:val="26"/>
          <w:szCs w:val="26"/>
        </w:rPr>
        <w:t>Client</w:t>
      </w:r>
      <w:proofErr w:type="gramEnd"/>
      <w:r w:rsidRPr="00C239BD">
        <w:rPr>
          <w:sz w:val="26"/>
          <w:szCs w:val="26"/>
        </w:rPr>
        <w:t xml:space="preserve"> to obtain services which are competitive with Company, from anyone other than Company.” </w:t>
      </w:r>
      <w:r w:rsidRPr="00C239BD">
        <w:rPr>
          <w:i/>
          <w:sz w:val="26"/>
          <w:szCs w:val="26"/>
        </w:rPr>
        <w:t>Id.</w:t>
      </w:r>
      <w:r w:rsidRPr="00C239BD">
        <w:rPr>
          <w:sz w:val="26"/>
          <w:szCs w:val="26"/>
        </w:rPr>
        <w:t xml:space="preserve"> at *2. Sentry Force terminated and then sued Barrera for allegedly establishing his own competing company and soliciting several of Sentry Force’s clients, while he was still employed by the firm. Barrera argued, and the trial court agreed, that the covenant was unenforceable because Barrera was a “low-wage employee” under Virginia’s statute governing covenants not to compete in the employment relationship, </w:t>
      </w:r>
      <w:hyperlink r:id="rId6" w:history="1">
        <w:r w:rsidRPr="00C239BD">
          <w:rPr>
            <w:color w:val="0000FF"/>
            <w:sz w:val="26"/>
            <w:szCs w:val="26"/>
            <w:u w:val="single"/>
          </w:rPr>
          <w:t>Va. Code Ann. § 40.1-28.7:8</w:t>
        </w:r>
      </w:hyperlink>
      <w:r w:rsidRPr="00C239BD">
        <w:rPr>
          <w:sz w:val="26"/>
          <w:szCs w:val="26"/>
        </w:rPr>
        <w:t xml:space="preserve">. </w:t>
      </w:r>
    </w:p>
    <w:p w14:paraId="6422B5FE"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22ACB7B4"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That statute was enacted in 2020. The first sentence of subsection (a) defines the term “covenant not to compete” to “mean[] a covenant or agreement … between an employer and employee that restrains, prohibits, or otherwise restricts an individual’s ability, following the termination of the individual’s employment, to compete with his former employer.” The second sentence of subsection (a) limits such covenants: “A ‘covenant not to compete’ shall not restrict an employee from providing a service to a customer or client of the employer if the employee does not initiate contact with or solicit the customer or client.”</w:t>
      </w:r>
    </w:p>
    <w:p w14:paraId="57103EF1"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254B997D"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 xml:space="preserve">The most important part of the statute is subsection (b), which provides: “No employer shall enter into, enforce, or threaten to enforce a covenant not to compete with any low-wage employee.” How do we know this is the most important part? Because the General Assembly told us so in subsections (d) and (e). Subsection (d) provides a private right of action in favor of any low-wage employee against any former employer that attempts to </w:t>
      </w:r>
      <w:r w:rsidRPr="00C239BD">
        <w:rPr>
          <w:sz w:val="26"/>
          <w:szCs w:val="26"/>
        </w:rPr>
        <w:lastRenderedPageBreak/>
        <w:t xml:space="preserve">enforce a covenant not to compete against the employee. Remedies for the low-wage employee in such an action include an award </w:t>
      </w:r>
      <w:proofErr w:type="gramStart"/>
      <w:r w:rsidRPr="00C239BD">
        <w:rPr>
          <w:sz w:val="26"/>
          <w:szCs w:val="26"/>
        </w:rPr>
        <w:t>of</w:t>
      </w:r>
      <w:proofErr w:type="gramEnd"/>
      <w:r w:rsidRPr="00C239BD">
        <w:rPr>
          <w:sz w:val="26"/>
          <w:szCs w:val="26"/>
        </w:rPr>
        <w:t xml:space="preserve"> lost compensation, liquidated and other damages, and reasonable attorney’s fees and costs. Subsection (e) also subjects an employer that violates subsection (b) to a civil penalty of $10,000 for each violation. Given the clear and unambiguous language of these provisions, as well as the considerable penalties for violating subsection (b), the General Assembly’s intent could not be any clearer: to “outlaw[] non-compete agreements entirely for workers with below-average salaries.” </w:t>
      </w:r>
      <w:hyperlink r:id="rId7" w:history="1">
        <w:r w:rsidRPr="00C239BD">
          <w:rPr>
            <w:i/>
            <w:color w:val="0000FF"/>
            <w:sz w:val="26"/>
            <w:szCs w:val="26"/>
            <w:u w:val="single"/>
          </w:rPr>
          <w:t>Adnet, Inc. v. Soni</w:t>
        </w:r>
      </w:hyperlink>
      <w:r w:rsidRPr="00C239BD">
        <w:rPr>
          <w:sz w:val="26"/>
          <w:szCs w:val="26"/>
        </w:rPr>
        <w:t xml:space="preserve">, 66 F.4th 510, 522 (4th Cir. 2023) (Wilkinson, J., concurring); </w:t>
      </w:r>
      <w:r w:rsidRPr="00C239BD">
        <w:rPr>
          <w:i/>
          <w:sz w:val="26"/>
          <w:szCs w:val="26"/>
        </w:rPr>
        <w:t xml:space="preserve">see also </w:t>
      </w:r>
      <w:hyperlink r:id="rId8" w:history="1">
        <w:r w:rsidRPr="00C239BD">
          <w:rPr>
            <w:i/>
            <w:color w:val="0000FF"/>
            <w:sz w:val="26"/>
            <w:szCs w:val="26"/>
            <w:u w:val="single"/>
          </w:rPr>
          <w:t>Sharp Details, LLC v. Meneses</w:t>
        </w:r>
      </w:hyperlink>
      <w:r w:rsidRPr="00C239BD">
        <w:rPr>
          <w:sz w:val="26"/>
          <w:szCs w:val="26"/>
        </w:rPr>
        <w:t>, No. 1:25-cv-00276, 2025 U.S. Dist. LEXIS 259133, at *12 (E.D. Va. Dec. 15, 2025) (the statute “bars non-compete agreements for ‘low-wage employees’”).</w:t>
      </w:r>
    </w:p>
    <w:p w14:paraId="604C2680"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646DF163"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 xml:space="preserve">For purposes of the appeal in </w:t>
      </w:r>
      <w:r w:rsidRPr="00C239BD">
        <w:rPr>
          <w:i/>
          <w:sz w:val="26"/>
          <w:szCs w:val="26"/>
        </w:rPr>
        <w:t>Sentry Force</w:t>
      </w:r>
      <w:r w:rsidRPr="00C239BD">
        <w:rPr>
          <w:sz w:val="26"/>
          <w:szCs w:val="26"/>
        </w:rPr>
        <w:t xml:space="preserve">, the employer did not dispute, and the court of appeals </w:t>
      </w:r>
      <w:proofErr w:type="gramStart"/>
      <w:r w:rsidRPr="00C239BD">
        <w:rPr>
          <w:sz w:val="26"/>
          <w:szCs w:val="26"/>
        </w:rPr>
        <w:t>assumed,</w:t>
      </w:r>
      <w:proofErr w:type="gramEnd"/>
      <w:r w:rsidRPr="00C239BD">
        <w:rPr>
          <w:sz w:val="26"/>
          <w:szCs w:val="26"/>
        </w:rPr>
        <w:t xml:space="preserve"> that Barrera was a low-wage employee as defined in the statute. 2026 LX 11348, at *10 n.4, *24. Therefore, the restrictive covenant should not have been enforced against Barrera, as the trial court correctly held.</w:t>
      </w:r>
    </w:p>
    <w:p w14:paraId="69F7204A" w14:textId="77777777" w:rsidR="00B512BB" w:rsidRPr="00C239BD" w:rsidRDefault="00B512B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68D24A97"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 xml:space="preserve">But the court of appeals disagreed, instead holding that the statute did not prevent Sentry Force from barring Barrera from soliciting its clients once he left the firm. </w:t>
      </w:r>
      <w:r w:rsidRPr="00C239BD">
        <w:rPr>
          <w:i/>
          <w:sz w:val="26"/>
          <w:szCs w:val="26"/>
        </w:rPr>
        <w:t>Id.</w:t>
      </w:r>
      <w:r w:rsidRPr="00C239BD">
        <w:rPr>
          <w:sz w:val="26"/>
          <w:szCs w:val="26"/>
        </w:rPr>
        <w:t xml:space="preserve"> at *24-25. The court read the statute correctly in many respects, including that subsection (A) “makes a contract not to compete unenforceable when an employee does not solicit his employer’s clients [but] … allows an employer to enforce a contract not to compete against an employee who </w:t>
      </w:r>
      <w:r w:rsidRPr="00C239BD">
        <w:rPr>
          <w:i/>
          <w:sz w:val="26"/>
          <w:szCs w:val="26"/>
        </w:rPr>
        <w:t>does</w:t>
      </w:r>
      <w:r w:rsidRPr="00C239BD">
        <w:rPr>
          <w:sz w:val="26"/>
          <w:szCs w:val="26"/>
        </w:rPr>
        <w:t xml:space="preserve"> solicit his employer’s clients.” </w:t>
      </w:r>
      <w:r w:rsidRPr="00C239BD">
        <w:rPr>
          <w:i/>
          <w:sz w:val="26"/>
          <w:szCs w:val="26"/>
        </w:rPr>
        <w:t>Id.</w:t>
      </w:r>
      <w:r w:rsidRPr="00C239BD">
        <w:rPr>
          <w:sz w:val="26"/>
          <w:szCs w:val="26"/>
        </w:rPr>
        <w:t xml:space="preserve"> at *22. The court erred, however, in reading the second sentence of subsection (A) as altering the definition of “covenant not to compete” so that “an agreement that bars an employee from soliciting his former employer’s clients is </w:t>
      </w:r>
      <w:r w:rsidRPr="00C239BD">
        <w:rPr>
          <w:i/>
          <w:sz w:val="26"/>
          <w:szCs w:val="26"/>
        </w:rPr>
        <w:t>not</w:t>
      </w:r>
      <w:r w:rsidRPr="00C239BD">
        <w:rPr>
          <w:sz w:val="26"/>
          <w:szCs w:val="26"/>
        </w:rPr>
        <w:t xml:space="preserve"> a ‘covenant not to compete’” at all, rather than just a lawful covenant not to compete. </w:t>
      </w:r>
      <w:r w:rsidRPr="00C239BD">
        <w:rPr>
          <w:i/>
          <w:sz w:val="26"/>
          <w:szCs w:val="26"/>
        </w:rPr>
        <w:t>Id.</w:t>
      </w:r>
      <w:r w:rsidRPr="00C239BD">
        <w:rPr>
          <w:sz w:val="26"/>
          <w:szCs w:val="26"/>
        </w:rPr>
        <w:t xml:space="preserve"> at *20. It followed that subsection (B) did not protect Barrera, even assuming he was a low-wage employee, because Sentry Force was not enforcing a “covenant not to compete” with Barrera. </w:t>
      </w:r>
      <w:r w:rsidRPr="00C239BD">
        <w:rPr>
          <w:i/>
          <w:sz w:val="26"/>
          <w:szCs w:val="26"/>
        </w:rPr>
        <w:t>Id.</w:t>
      </w:r>
      <w:r w:rsidRPr="00C239BD">
        <w:rPr>
          <w:sz w:val="26"/>
          <w:szCs w:val="26"/>
        </w:rPr>
        <w:t xml:space="preserve"> at *20-21. But this misreads the second sentence of subsection (A), which limits what behavior a “covenant not to compete” can restrict without changing the definition of that term. Beyond the text, the court’s reading renders subsection (B) effectively meaningless; under the court’s interpretation, restrictive covenants are always enforceable, or not, under the same circumstances, </w:t>
      </w:r>
      <w:proofErr w:type="gramStart"/>
      <w:r w:rsidRPr="00C239BD">
        <w:rPr>
          <w:sz w:val="26"/>
          <w:szCs w:val="26"/>
        </w:rPr>
        <w:t>whether or not</w:t>
      </w:r>
      <w:proofErr w:type="gramEnd"/>
      <w:r w:rsidRPr="00C239BD">
        <w:rPr>
          <w:sz w:val="26"/>
          <w:szCs w:val="26"/>
        </w:rPr>
        <w:t xml:space="preserve"> the agreement is with a low-wage employee.</w:t>
      </w:r>
    </w:p>
    <w:p w14:paraId="668464B6"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00187C81"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In sum, the court’s misreading improperly vitiates the General Assembly’s intent to categorically prohibit non-compete agreements with low-wage employees. And even though the court designated its opinion as not for publication, this still matters, as parties can cite such opinions as “informative,” and trial courts may be swayed by the faulty reasoning, even if it is not “binding authority.” Va. Sup. Ct. R. 5:1(f).</w:t>
      </w:r>
    </w:p>
    <w:p w14:paraId="466D00EF"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5EC9A0C6"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lastRenderedPageBreak/>
        <w:tab/>
        <w:t xml:space="preserve">How did the court get this so wrong? The court was concerned that Barrera would </w:t>
      </w:r>
      <w:proofErr w:type="gramStart"/>
      <w:r w:rsidRPr="00C239BD">
        <w:rPr>
          <w:sz w:val="26"/>
          <w:szCs w:val="26"/>
        </w:rPr>
        <w:t>actually profit</w:t>
      </w:r>
      <w:proofErr w:type="gramEnd"/>
      <w:r w:rsidRPr="00C239BD">
        <w:rPr>
          <w:sz w:val="26"/>
          <w:szCs w:val="26"/>
        </w:rPr>
        <w:t xml:space="preserve"> from his alleged egregious behavior in soliciting Sentry Force’s clients, and using Sentry Force’s resources to do so, while he was still working for Sentry Force:</w:t>
      </w:r>
    </w:p>
    <w:p w14:paraId="7829AC22"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71BD9D3E"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right="360"/>
        <w:jc w:val="both"/>
        <w:rPr>
          <w:sz w:val="26"/>
          <w:szCs w:val="26"/>
        </w:rPr>
      </w:pPr>
      <w:r w:rsidRPr="00C239BD">
        <w:rPr>
          <w:sz w:val="26"/>
          <w:szCs w:val="26"/>
        </w:rPr>
        <w:t>If Barrera’s interpretation of Code § 40.1-28.7:8 is accurate, even an employee like the completely disloyal one that Sentry Force claims Barrera to be would face no liability whatsoever—despite signing a contract not to compete—for having solicited his employer’s own clients and customers while being paid to work for his employer. That same employee would be able to bring a claim under Code § 40.1-28.7:8 against that former employer who tried to stop him from soliciting the employer’s customers. That employee’s employer could also be required to pay “a civil penalty of $10,000” per violation along with liquidated damages, lost compensation, “and reasonable attorney fees and costs.” Code § 40.1-28.7:8. Such an outcome would be absurd—and simply therefore not what the General Assembly intended to create when it enacted Code § 40.1-28.7:8.</w:t>
      </w:r>
    </w:p>
    <w:p w14:paraId="12464E56"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2E37E1A1"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2026 LX 11348, at *17-18. There are two problems with this line of thought.</w:t>
      </w:r>
    </w:p>
    <w:p w14:paraId="30D7B3A8"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5E140986"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 xml:space="preserve">First, the outcome is not at all absurd; on the contrary, it is precisely what the General Assembly </w:t>
      </w:r>
      <w:proofErr w:type="gramStart"/>
      <w:r w:rsidRPr="00C239BD">
        <w:rPr>
          <w:sz w:val="26"/>
          <w:szCs w:val="26"/>
        </w:rPr>
        <w:t>intended in</w:t>
      </w:r>
      <w:proofErr w:type="gramEnd"/>
      <w:r w:rsidRPr="00C239BD">
        <w:rPr>
          <w:sz w:val="26"/>
          <w:szCs w:val="26"/>
        </w:rPr>
        <w:t xml:space="preserve"> categorically barring employers from </w:t>
      </w:r>
      <w:proofErr w:type="gramStart"/>
      <w:r w:rsidRPr="00C239BD">
        <w:rPr>
          <w:sz w:val="26"/>
          <w:szCs w:val="26"/>
        </w:rPr>
        <w:t>entering into</w:t>
      </w:r>
      <w:proofErr w:type="gramEnd"/>
      <w:r w:rsidRPr="00C239BD">
        <w:rPr>
          <w:sz w:val="26"/>
          <w:szCs w:val="26"/>
        </w:rPr>
        <w:t xml:space="preserve"> and then trying to enforce post-term covenants not to compete with low-wage employees and backing up that prohibition with real teeth. That was a judgment call the General Assembly made, and not one that the court could ignore in practically </w:t>
      </w:r>
      <w:proofErr w:type="gramStart"/>
      <w:r w:rsidRPr="00C239BD">
        <w:rPr>
          <w:sz w:val="26"/>
          <w:szCs w:val="26"/>
        </w:rPr>
        <w:t>rewriting</w:t>
      </w:r>
      <w:proofErr w:type="gramEnd"/>
      <w:r w:rsidRPr="00C239BD">
        <w:rPr>
          <w:sz w:val="26"/>
          <w:szCs w:val="26"/>
        </w:rPr>
        <w:t xml:space="preserve"> subsection (B) out of the statute.</w:t>
      </w:r>
    </w:p>
    <w:p w14:paraId="41BE3D2F"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3A3E164E"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 xml:space="preserve">Second, the court erred in positing that Barrera “would face no liability whatsoever … for having solicited his employer’s own clients and customers </w:t>
      </w:r>
      <w:r w:rsidRPr="00C239BD">
        <w:rPr>
          <w:i/>
          <w:sz w:val="26"/>
          <w:szCs w:val="26"/>
        </w:rPr>
        <w:t>while being paid to work for his employer</w:t>
      </w:r>
      <w:r w:rsidRPr="00C239BD">
        <w:rPr>
          <w:sz w:val="26"/>
          <w:szCs w:val="26"/>
        </w:rPr>
        <w:t xml:space="preserve">.” (Emphasis added.) For one thing, the statute only applies to post-term covenants not to compete, which restrict the employee’s ability to compete “following the termination of the individual’s employment.” Va. Code Ann. § 40.1-28.7:8(A). More importantly, Sentry Force, as the court was </w:t>
      </w:r>
      <w:proofErr w:type="gramStart"/>
      <w:r w:rsidRPr="00C239BD">
        <w:rPr>
          <w:sz w:val="26"/>
          <w:szCs w:val="26"/>
        </w:rPr>
        <w:t>well aware</w:t>
      </w:r>
      <w:proofErr w:type="gramEnd"/>
      <w:r w:rsidRPr="00C239BD">
        <w:rPr>
          <w:sz w:val="26"/>
          <w:szCs w:val="26"/>
        </w:rPr>
        <w:t xml:space="preserve">, </w:t>
      </w:r>
      <w:proofErr w:type="gramStart"/>
      <w:r w:rsidRPr="00C239BD">
        <w:rPr>
          <w:sz w:val="26"/>
          <w:szCs w:val="26"/>
        </w:rPr>
        <w:t>actually brought</w:t>
      </w:r>
      <w:proofErr w:type="gramEnd"/>
      <w:r w:rsidRPr="00C239BD">
        <w:rPr>
          <w:sz w:val="26"/>
          <w:szCs w:val="26"/>
        </w:rPr>
        <w:t xml:space="preserve"> the proper common-law claim to redress Barrera’s alleged pre-termination bad behavior, namely, “breach of [an employee’s] fiduciary duty of loyalty.” 2026 LX 11348, at *11. The court even cited the proper remedy for such behavior: “recoup[</w:t>
      </w:r>
      <w:proofErr w:type="spellStart"/>
      <w:r w:rsidRPr="00C239BD">
        <w:rPr>
          <w:sz w:val="26"/>
          <w:szCs w:val="26"/>
        </w:rPr>
        <w:t>ing</w:t>
      </w:r>
      <w:proofErr w:type="spellEnd"/>
      <w:r w:rsidRPr="00C239BD">
        <w:rPr>
          <w:sz w:val="26"/>
          <w:szCs w:val="26"/>
        </w:rPr>
        <w:t xml:space="preserve">] from [the disloyal employee] all of [his] compensation from [the employer] dating back to [his] initial breach of duty,” that is, during the period of the employee’s disloyalty. </w:t>
      </w:r>
      <w:r w:rsidRPr="00C239BD">
        <w:rPr>
          <w:i/>
          <w:sz w:val="26"/>
          <w:szCs w:val="26"/>
        </w:rPr>
        <w:t>Id.</w:t>
      </w:r>
      <w:r w:rsidRPr="00C239BD">
        <w:rPr>
          <w:sz w:val="26"/>
          <w:szCs w:val="26"/>
        </w:rPr>
        <w:t xml:space="preserve"> at *8; </w:t>
      </w:r>
      <w:r w:rsidRPr="00C239BD">
        <w:rPr>
          <w:i/>
          <w:sz w:val="26"/>
          <w:szCs w:val="26"/>
        </w:rPr>
        <w:t>see</w:t>
      </w:r>
      <w:r w:rsidRPr="00C239BD">
        <w:rPr>
          <w:sz w:val="26"/>
          <w:szCs w:val="26"/>
        </w:rPr>
        <w:t xml:space="preserve"> Restatement (Second) of Agency § 469 (1958) (“An agent is entitled to no compensation for conduct which is disobedient or which is a breach of his duty of loyalty[.]”).</w:t>
      </w:r>
    </w:p>
    <w:p w14:paraId="7AEA8D31" w14:textId="77777777" w:rsidR="00B5787F" w:rsidRPr="00C239BD" w:rsidRDefault="00B578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p>
    <w:p w14:paraId="13378F5C" w14:textId="77777777" w:rsidR="00B5787F" w:rsidRPr="00C239BD" w:rsidRDefault="00C405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sz w:val="26"/>
          <w:szCs w:val="26"/>
        </w:rPr>
      </w:pPr>
      <w:r w:rsidRPr="00C239BD">
        <w:rPr>
          <w:sz w:val="26"/>
          <w:szCs w:val="26"/>
        </w:rPr>
        <w:tab/>
        <w:t xml:space="preserve">The court’s concern that Barrera’s misconduct would go unpunished is another example of the old saw about hard cases making bad law. Barrera allegedly engaged in some fundamentally improper conduct for an employee in using his employer’s resources to steer the employer’s clients to his competing business while still being paid by the employer. At the same time, however, Sentry Force engaged in unlawful conduct of its own in requiring </w:t>
      </w:r>
      <w:r w:rsidRPr="00C239BD">
        <w:rPr>
          <w:sz w:val="26"/>
          <w:szCs w:val="26"/>
        </w:rPr>
        <w:lastRenderedPageBreak/>
        <w:t>Barrera, a low-wage employee, to sign a covenant not to compete in contravention of subsection (B) of the statute. It was entirely proper for both parties to seek the appropriate remedies for the other’s misconduct, Sentry Force under the common law for Barrera’s breach of the duty of loyalty, and Barrera for Sentry Force’s violation of Code § 40.1-28.7:8(B).</w:t>
      </w:r>
    </w:p>
    <w:sectPr w:rsidR="00B5787F" w:rsidRPr="00C239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7F"/>
    <w:rsid w:val="000C1F7D"/>
    <w:rsid w:val="001257DF"/>
    <w:rsid w:val="00B512BB"/>
    <w:rsid w:val="00B5538D"/>
    <w:rsid w:val="00B5787F"/>
    <w:rsid w:val="00B975E7"/>
    <w:rsid w:val="00C239BD"/>
    <w:rsid w:val="00C40561"/>
    <w:rsid w:val="00FA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2E599"/>
  <w15:docId w15:val="{93AE44B7-8687-4DD7-89D3-8F588AD4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holar.google.com/scholar_case?case=12136001026015435644&amp;q=sharp+details+llc+v+meneses&amp;hl=en&amp;as_sdt=3,47" TargetMode="External"/><Relationship Id="rId3" Type="http://schemas.openxmlformats.org/officeDocument/2006/relationships/settings" Target="settings.xml"/><Relationship Id="rId7" Type="http://schemas.openxmlformats.org/officeDocument/2006/relationships/hyperlink" Target="https://www.govinfo.gov/content/pkg/USCOURTS-ca4-21-02182/pdf/USCOURTS-ca4-21-02182-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aw.lis.virginia.gov/vacode/title40.1/chapter3/section40.1-28.7:8/" TargetMode="External"/><Relationship Id="rId5" Type="http://schemas.openxmlformats.org/officeDocument/2006/relationships/hyperlink" Target="https://www.vacourts.gov/static/opinions/opncavwp/140524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0B23-8700-46BF-BB3A-D3FADBB2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1481</Words>
  <Characters>8444</Characters>
  <Application>Microsoft Office Word</Application>
  <DocSecurity>0</DocSecurity>
  <Lines>70</Lines>
  <Paragraphs>19</Paragraphs>
  <ScaleCrop>false</ScaleCrop>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Ferrer</dc:creator>
  <cp:lastModifiedBy>Brett Turner</cp:lastModifiedBy>
  <cp:revision>2</cp:revision>
  <dcterms:created xsi:type="dcterms:W3CDTF">2026-05-04T20:11:00Z</dcterms:created>
  <dcterms:modified xsi:type="dcterms:W3CDTF">2026-05-04T20:11:00Z</dcterms:modified>
</cp:coreProperties>
</file>